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5C2" w:rsidRPr="00C635C2" w:rsidRDefault="00C635C2" w:rsidP="00C635C2">
      <w:pPr>
        <w:spacing w:after="0" w:line="480" w:lineRule="auto"/>
        <w:jc w:val="center"/>
        <w:rPr>
          <w:rFonts w:ascii="Arial" w:hAnsi="Arial" w:cs="Arial"/>
          <w:sz w:val="24"/>
          <w:szCs w:val="24"/>
        </w:rPr>
      </w:pPr>
      <w:bookmarkStart w:id="0" w:name="_GoBack"/>
      <w:bookmarkEnd w:id="0"/>
      <w:r w:rsidRPr="00C635C2">
        <w:rPr>
          <w:rFonts w:ascii="Arial" w:hAnsi="Arial" w:cs="Arial"/>
          <w:sz w:val="24"/>
          <w:szCs w:val="24"/>
        </w:rPr>
        <w:t>Investment Finance Questions</w:t>
      </w:r>
    </w:p>
    <w:p w:rsidR="00902593" w:rsidRPr="00C635C2" w:rsidRDefault="00D64EAA" w:rsidP="00C635C2">
      <w:pPr>
        <w:spacing w:after="0" w:line="480" w:lineRule="auto"/>
        <w:rPr>
          <w:rFonts w:ascii="Arial" w:hAnsi="Arial" w:cs="Arial"/>
          <w:b/>
          <w:sz w:val="24"/>
          <w:szCs w:val="24"/>
        </w:rPr>
      </w:pPr>
      <w:r w:rsidRPr="00C635C2">
        <w:rPr>
          <w:rFonts w:ascii="Arial" w:hAnsi="Arial" w:cs="Arial"/>
          <w:b/>
          <w:sz w:val="24"/>
          <w:szCs w:val="24"/>
        </w:rPr>
        <w:t>Question 1</w:t>
      </w:r>
    </w:p>
    <w:p w:rsidR="00801FAE" w:rsidRPr="00C635C2" w:rsidRDefault="00AE4806" w:rsidP="00C635C2">
      <w:pPr>
        <w:spacing w:after="0" w:line="480" w:lineRule="auto"/>
        <w:rPr>
          <w:rFonts w:ascii="Arial" w:hAnsi="Arial" w:cs="Arial"/>
          <w:sz w:val="24"/>
          <w:szCs w:val="24"/>
        </w:rPr>
      </w:pPr>
      <w:r w:rsidRPr="00C635C2">
        <w:rPr>
          <w:rFonts w:ascii="Arial" w:hAnsi="Arial" w:cs="Arial"/>
          <w:sz w:val="24"/>
          <w:szCs w:val="24"/>
        </w:rPr>
        <w:t>NO</w:t>
      </w:r>
    </w:p>
    <w:p w:rsidR="00D64EAA" w:rsidRPr="00C635C2" w:rsidRDefault="00D64EAA" w:rsidP="00C635C2">
      <w:pPr>
        <w:spacing w:after="0" w:line="480" w:lineRule="auto"/>
        <w:rPr>
          <w:rFonts w:ascii="Arial" w:hAnsi="Arial" w:cs="Arial"/>
          <w:b/>
          <w:sz w:val="24"/>
          <w:szCs w:val="24"/>
        </w:rPr>
      </w:pPr>
      <w:r w:rsidRPr="00C635C2">
        <w:rPr>
          <w:rFonts w:ascii="Arial" w:hAnsi="Arial" w:cs="Arial"/>
          <w:b/>
          <w:sz w:val="24"/>
          <w:szCs w:val="24"/>
        </w:rPr>
        <w:t>Question 2</w:t>
      </w:r>
    </w:p>
    <w:tbl>
      <w:tblPr>
        <w:tblStyle w:val="PlainTable1"/>
        <w:tblW w:w="0" w:type="auto"/>
        <w:tblLook w:val="04A0" w:firstRow="1" w:lastRow="0" w:firstColumn="1" w:lastColumn="0" w:noHBand="0" w:noVBand="1"/>
      </w:tblPr>
      <w:tblGrid>
        <w:gridCol w:w="6925"/>
        <w:gridCol w:w="2425"/>
      </w:tblGrid>
      <w:tr w:rsidR="00EE37F5" w:rsidTr="00733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tcPr>
          <w:p w:rsidR="00EE37F5" w:rsidRDefault="00EE37F5"/>
        </w:tc>
        <w:tc>
          <w:tcPr>
            <w:tcW w:w="2425" w:type="dxa"/>
          </w:tcPr>
          <w:p w:rsidR="00EE37F5" w:rsidRDefault="00F15311">
            <w:pPr>
              <w:cnfStyle w:val="100000000000" w:firstRow="1" w:lastRow="0" w:firstColumn="0" w:lastColumn="0" w:oddVBand="0" w:evenVBand="0" w:oddHBand="0" w:evenHBand="0" w:firstRowFirstColumn="0" w:firstRowLastColumn="0" w:lastRowFirstColumn="0" w:lastRowLastColumn="0"/>
            </w:pPr>
            <w:r>
              <w:t>Regression Results</w:t>
            </w:r>
          </w:p>
        </w:tc>
      </w:tr>
      <w:tr w:rsidR="00EE37F5" w:rsidTr="00733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tcPr>
          <w:p w:rsidR="00EE37F5" w:rsidRDefault="00F15311">
            <w:r>
              <w:t>Alpha from CAPM (monthly)</w:t>
            </w:r>
          </w:p>
        </w:tc>
        <w:tc>
          <w:tcPr>
            <w:tcW w:w="2425" w:type="dxa"/>
          </w:tcPr>
          <w:p w:rsidR="00EE37F5" w:rsidRDefault="00CF2B39">
            <w:pPr>
              <w:cnfStyle w:val="000000100000" w:firstRow="0" w:lastRow="0" w:firstColumn="0" w:lastColumn="0" w:oddVBand="0" w:evenVBand="0" w:oddHBand="1" w:evenHBand="0" w:firstRowFirstColumn="0" w:firstRowLastColumn="0" w:lastRowFirstColumn="0" w:lastRowLastColumn="0"/>
            </w:pPr>
            <w:r>
              <w:t>0.3847</w:t>
            </w:r>
          </w:p>
        </w:tc>
      </w:tr>
      <w:tr w:rsidR="00EE37F5" w:rsidTr="00733100">
        <w:tc>
          <w:tcPr>
            <w:cnfStyle w:val="001000000000" w:firstRow="0" w:lastRow="0" w:firstColumn="1" w:lastColumn="0" w:oddVBand="0" w:evenVBand="0" w:oddHBand="0" w:evenHBand="0" w:firstRowFirstColumn="0" w:firstRowLastColumn="0" w:lastRowFirstColumn="0" w:lastRowLastColumn="0"/>
            <w:tcW w:w="6925" w:type="dxa"/>
          </w:tcPr>
          <w:p w:rsidR="00EE37F5" w:rsidRDefault="00F15311">
            <w:r>
              <w:t>Beta from CAPM</w:t>
            </w:r>
          </w:p>
        </w:tc>
        <w:tc>
          <w:tcPr>
            <w:tcW w:w="2425" w:type="dxa"/>
          </w:tcPr>
          <w:p w:rsidR="00EE37F5" w:rsidRDefault="00CF2B39">
            <w:pPr>
              <w:cnfStyle w:val="000000000000" w:firstRow="0" w:lastRow="0" w:firstColumn="0" w:lastColumn="0" w:oddVBand="0" w:evenVBand="0" w:oddHBand="0" w:evenHBand="0" w:firstRowFirstColumn="0" w:firstRowLastColumn="0" w:lastRowFirstColumn="0" w:lastRowLastColumn="0"/>
            </w:pPr>
            <w:r>
              <w:t>1.143</w:t>
            </w:r>
          </w:p>
        </w:tc>
      </w:tr>
      <w:tr w:rsidR="00EE37F5" w:rsidTr="00733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tcPr>
          <w:p w:rsidR="00EE37F5" w:rsidRPr="00F15311" w:rsidRDefault="00F15311">
            <w:pPr>
              <w:rPr>
                <w:b w:val="0"/>
              </w:rPr>
            </w:pPr>
            <w:r w:rsidRPr="00F15311">
              <w:t>R-squared</w:t>
            </w:r>
          </w:p>
        </w:tc>
        <w:tc>
          <w:tcPr>
            <w:tcW w:w="2425" w:type="dxa"/>
          </w:tcPr>
          <w:p w:rsidR="00EE37F5" w:rsidRDefault="00AA4EA7">
            <w:pPr>
              <w:cnfStyle w:val="000000100000" w:firstRow="0" w:lastRow="0" w:firstColumn="0" w:lastColumn="0" w:oddVBand="0" w:evenVBand="0" w:oddHBand="1" w:evenHBand="0" w:firstRowFirstColumn="0" w:firstRowLastColumn="0" w:lastRowFirstColumn="0" w:lastRowLastColumn="0"/>
            </w:pPr>
            <w:r>
              <w:t>0.903</w:t>
            </w:r>
          </w:p>
        </w:tc>
      </w:tr>
      <w:tr w:rsidR="00EE37F5" w:rsidTr="00733100">
        <w:tc>
          <w:tcPr>
            <w:cnfStyle w:val="001000000000" w:firstRow="0" w:lastRow="0" w:firstColumn="1" w:lastColumn="0" w:oddVBand="0" w:evenVBand="0" w:oddHBand="0" w:evenHBand="0" w:firstRowFirstColumn="0" w:firstRowLastColumn="0" w:lastRowFirstColumn="0" w:lastRowLastColumn="0"/>
            <w:tcW w:w="6925" w:type="dxa"/>
          </w:tcPr>
          <w:p w:rsidR="00EE37F5" w:rsidRDefault="00EE37F5"/>
        </w:tc>
        <w:tc>
          <w:tcPr>
            <w:tcW w:w="2425" w:type="dxa"/>
          </w:tcPr>
          <w:p w:rsidR="00EE37F5" w:rsidRDefault="00EE37F5">
            <w:pPr>
              <w:cnfStyle w:val="000000000000" w:firstRow="0" w:lastRow="0" w:firstColumn="0" w:lastColumn="0" w:oddVBand="0" w:evenVBand="0" w:oddHBand="0" w:evenHBand="0" w:firstRowFirstColumn="0" w:firstRowLastColumn="0" w:lastRowFirstColumn="0" w:lastRowLastColumn="0"/>
            </w:pPr>
          </w:p>
        </w:tc>
      </w:tr>
      <w:tr w:rsidR="00EE37F5" w:rsidTr="00733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tcPr>
          <w:p w:rsidR="00EE37F5" w:rsidRDefault="00F15311">
            <w:r>
              <w:t>Alpha from 3-Factor Model (Monthly)</w:t>
            </w:r>
          </w:p>
        </w:tc>
        <w:tc>
          <w:tcPr>
            <w:tcW w:w="2425" w:type="dxa"/>
          </w:tcPr>
          <w:p w:rsidR="00EE37F5" w:rsidRDefault="003C7159">
            <w:pPr>
              <w:cnfStyle w:val="000000100000" w:firstRow="0" w:lastRow="0" w:firstColumn="0" w:lastColumn="0" w:oddVBand="0" w:evenVBand="0" w:oddHBand="1" w:evenHBand="0" w:firstRowFirstColumn="0" w:firstRowLastColumn="0" w:lastRowFirstColumn="0" w:lastRowLastColumn="0"/>
            </w:pPr>
            <w:r>
              <w:t>0.3163</w:t>
            </w:r>
          </w:p>
        </w:tc>
      </w:tr>
      <w:tr w:rsidR="00EE37F5" w:rsidTr="00733100">
        <w:tc>
          <w:tcPr>
            <w:cnfStyle w:val="001000000000" w:firstRow="0" w:lastRow="0" w:firstColumn="1" w:lastColumn="0" w:oddVBand="0" w:evenVBand="0" w:oddHBand="0" w:evenHBand="0" w:firstRowFirstColumn="0" w:firstRowLastColumn="0" w:lastRowFirstColumn="0" w:lastRowLastColumn="0"/>
            <w:tcW w:w="6925" w:type="dxa"/>
          </w:tcPr>
          <w:p w:rsidR="00EE37F5" w:rsidRDefault="00F15311">
            <w:r>
              <w:t>Beta on Market Factor</w:t>
            </w:r>
          </w:p>
        </w:tc>
        <w:tc>
          <w:tcPr>
            <w:tcW w:w="2425" w:type="dxa"/>
          </w:tcPr>
          <w:p w:rsidR="00EE37F5" w:rsidRDefault="003C7159">
            <w:pPr>
              <w:cnfStyle w:val="000000000000" w:firstRow="0" w:lastRow="0" w:firstColumn="0" w:lastColumn="0" w:oddVBand="0" w:evenVBand="0" w:oddHBand="0" w:evenHBand="0" w:firstRowFirstColumn="0" w:firstRowLastColumn="0" w:lastRowFirstColumn="0" w:lastRowLastColumn="0"/>
            </w:pPr>
            <w:r>
              <w:t>1.127</w:t>
            </w:r>
          </w:p>
        </w:tc>
      </w:tr>
      <w:tr w:rsidR="00EE37F5" w:rsidTr="00733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tcPr>
          <w:p w:rsidR="00EE37F5" w:rsidRDefault="00F15311">
            <w:r>
              <w:t>Beta on Size Factor</w:t>
            </w:r>
          </w:p>
        </w:tc>
        <w:tc>
          <w:tcPr>
            <w:tcW w:w="2425" w:type="dxa"/>
          </w:tcPr>
          <w:p w:rsidR="00EE37F5" w:rsidRDefault="003C7159">
            <w:pPr>
              <w:cnfStyle w:val="000000100000" w:firstRow="0" w:lastRow="0" w:firstColumn="0" w:lastColumn="0" w:oddVBand="0" w:evenVBand="0" w:oddHBand="1" w:evenHBand="0" w:firstRowFirstColumn="0" w:firstRowLastColumn="0" w:lastRowFirstColumn="0" w:lastRowLastColumn="0"/>
            </w:pPr>
            <w:r>
              <w:t>0.144</w:t>
            </w:r>
          </w:p>
        </w:tc>
      </w:tr>
      <w:tr w:rsidR="00EE37F5" w:rsidTr="00733100">
        <w:tc>
          <w:tcPr>
            <w:cnfStyle w:val="001000000000" w:firstRow="0" w:lastRow="0" w:firstColumn="1" w:lastColumn="0" w:oddVBand="0" w:evenVBand="0" w:oddHBand="0" w:evenHBand="0" w:firstRowFirstColumn="0" w:firstRowLastColumn="0" w:lastRowFirstColumn="0" w:lastRowLastColumn="0"/>
            <w:tcW w:w="6925" w:type="dxa"/>
          </w:tcPr>
          <w:p w:rsidR="00EE37F5" w:rsidRDefault="00F15311">
            <w:r>
              <w:t>Beta on Value Factor</w:t>
            </w:r>
          </w:p>
        </w:tc>
        <w:tc>
          <w:tcPr>
            <w:tcW w:w="2425" w:type="dxa"/>
          </w:tcPr>
          <w:p w:rsidR="00EE37F5" w:rsidRDefault="003C7159">
            <w:pPr>
              <w:cnfStyle w:val="000000000000" w:firstRow="0" w:lastRow="0" w:firstColumn="0" w:lastColumn="0" w:oddVBand="0" w:evenVBand="0" w:oddHBand="0" w:evenHBand="0" w:firstRowFirstColumn="0" w:firstRowLastColumn="0" w:lastRowFirstColumn="0" w:lastRowLastColumn="0"/>
            </w:pPr>
            <w:r>
              <w:t>0.124</w:t>
            </w:r>
          </w:p>
        </w:tc>
      </w:tr>
      <w:tr w:rsidR="00EE37F5" w:rsidTr="00733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tcPr>
          <w:p w:rsidR="00EE37F5" w:rsidRPr="00F15311" w:rsidRDefault="00F15311">
            <w:pPr>
              <w:rPr>
                <w:b w:val="0"/>
              </w:rPr>
            </w:pPr>
            <w:r w:rsidRPr="00F15311">
              <w:t>R-squared</w:t>
            </w:r>
          </w:p>
        </w:tc>
        <w:tc>
          <w:tcPr>
            <w:tcW w:w="2425" w:type="dxa"/>
          </w:tcPr>
          <w:p w:rsidR="00EE37F5" w:rsidRDefault="003C7159">
            <w:pPr>
              <w:cnfStyle w:val="000000100000" w:firstRow="0" w:lastRow="0" w:firstColumn="0" w:lastColumn="0" w:oddVBand="0" w:evenVBand="0" w:oddHBand="1" w:evenHBand="0" w:firstRowFirstColumn="0" w:firstRowLastColumn="0" w:lastRowFirstColumn="0" w:lastRowLastColumn="0"/>
            </w:pPr>
            <w:r>
              <w:t>0.912</w:t>
            </w:r>
          </w:p>
        </w:tc>
      </w:tr>
    </w:tbl>
    <w:p w:rsidR="00801FAE" w:rsidRDefault="00801FAE"/>
    <w:p w:rsidR="00D64EAA" w:rsidRPr="00C635C2" w:rsidRDefault="00D64EAA" w:rsidP="00C635C2">
      <w:pPr>
        <w:spacing w:after="0" w:line="480" w:lineRule="auto"/>
        <w:rPr>
          <w:rFonts w:ascii="Arial" w:hAnsi="Arial" w:cs="Arial"/>
          <w:b/>
          <w:sz w:val="24"/>
          <w:szCs w:val="24"/>
        </w:rPr>
      </w:pPr>
      <w:r w:rsidRPr="00C635C2">
        <w:rPr>
          <w:rFonts w:ascii="Arial" w:hAnsi="Arial" w:cs="Arial"/>
          <w:b/>
          <w:sz w:val="24"/>
          <w:szCs w:val="24"/>
        </w:rPr>
        <w:t>Question 3</w:t>
      </w:r>
    </w:p>
    <w:p w:rsidR="006F4995" w:rsidRPr="00C635C2" w:rsidRDefault="006F4995" w:rsidP="00C635C2">
      <w:pPr>
        <w:spacing w:after="0" w:line="480" w:lineRule="auto"/>
        <w:ind w:firstLine="720"/>
        <w:rPr>
          <w:rFonts w:ascii="Arial" w:hAnsi="Arial" w:cs="Arial"/>
          <w:sz w:val="24"/>
          <w:szCs w:val="24"/>
        </w:rPr>
      </w:pPr>
      <w:r w:rsidRPr="00C635C2">
        <w:rPr>
          <w:rFonts w:ascii="Arial" w:hAnsi="Arial" w:cs="Arial"/>
          <w:sz w:val="24"/>
          <w:szCs w:val="24"/>
        </w:rPr>
        <w:t xml:space="preserve">Based on my CAPM regression results from Question 2, the </w:t>
      </w:r>
      <w:r w:rsidR="009D6A41" w:rsidRPr="00C635C2">
        <w:rPr>
          <w:rFonts w:ascii="Arial" w:hAnsi="Arial" w:cs="Arial"/>
          <w:sz w:val="24"/>
          <w:szCs w:val="24"/>
        </w:rPr>
        <w:t xml:space="preserve">strategy of investing </w:t>
      </w:r>
      <w:proofErr w:type="gramStart"/>
      <w:r w:rsidR="009D6A41" w:rsidRPr="00C635C2">
        <w:rPr>
          <w:rFonts w:ascii="Arial" w:hAnsi="Arial" w:cs="Arial"/>
          <w:sz w:val="24"/>
          <w:szCs w:val="24"/>
        </w:rPr>
        <w:t>in</w:t>
      </w:r>
      <w:proofErr w:type="gramEnd"/>
      <w:r w:rsidR="009D6A41" w:rsidRPr="00C635C2">
        <w:rPr>
          <w:rFonts w:ascii="Arial" w:hAnsi="Arial" w:cs="Arial"/>
          <w:sz w:val="24"/>
          <w:szCs w:val="24"/>
        </w:rPr>
        <w:t xml:space="preserve"> firms in the Fortune list outperformed its benchmark by 0.3847 per month. </w:t>
      </w:r>
    </w:p>
    <w:p w:rsidR="00D64EAA" w:rsidRPr="00C635C2" w:rsidRDefault="00D64EAA" w:rsidP="00C635C2">
      <w:pPr>
        <w:spacing w:after="0" w:line="480" w:lineRule="auto"/>
        <w:rPr>
          <w:rFonts w:ascii="Arial" w:hAnsi="Arial" w:cs="Arial"/>
          <w:b/>
          <w:sz w:val="24"/>
          <w:szCs w:val="24"/>
        </w:rPr>
      </w:pPr>
      <w:r w:rsidRPr="00C635C2">
        <w:rPr>
          <w:rFonts w:ascii="Arial" w:hAnsi="Arial" w:cs="Arial"/>
          <w:b/>
          <w:sz w:val="24"/>
          <w:szCs w:val="24"/>
        </w:rPr>
        <w:t>Question 4</w:t>
      </w:r>
    </w:p>
    <w:p w:rsidR="00D76B18" w:rsidRPr="00C635C2" w:rsidRDefault="00AA236E" w:rsidP="00C635C2">
      <w:pPr>
        <w:spacing w:after="0" w:line="480" w:lineRule="auto"/>
        <w:ind w:firstLine="720"/>
        <w:rPr>
          <w:rFonts w:ascii="Arial" w:hAnsi="Arial" w:cs="Arial"/>
          <w:sz w:val="24"/>
          <w:szCs w:val="24"/>
        </w:rPr>
      </w:pPr>
      <w:r w:rsidRPr="00C635C2">
        <w:rPr>
          <w:rFonts w:ascii="Arial" w:hAnsi="Arial" w:cs="Arial"/>
          <w:sz w:val="24"/>
          <w:szCs w:val="24"/>
        </w:rPr>
        <w:t xml:space="preserve">Based on the 3-Factor Model Regression results from question 2, the firms in the Fortune list are biased towards large capitalization firms because the beta on size factor is less than 0.5. On the other hand, the portfolio is tilted towards </w:t>
      </w:r>
      <w:r w:rsidR="00272E5D" w:rsidRPr="00C635C2">
        <w:rPr>
          <w:rFonts w:ascii="Arial" w:hAnsi="Arial" w:cs="Arial"/>
          <w:sz w:val="24"/>
          <w:szCs w:val="24"/>
        </w:rPr>
        <w:t>high value stocks because the beta on value factor is less than 0.5.</w:t>
      </w:r>
    </w:p>
    <w:p w:rsidR="00D64EAA" w:rsidRPr="00C635C2" w:rsidRDefault="00D64EAA" w:rsidP="00C635C2">
      <w:pPr>
        <w:spacing w:after="0" w:line="480" w:lineRule="auto"/>
        <w:rPr>
          <w:rFonts w:ascii="Arial" w:hAnsi="Arial" w:cs="Arial"/>
          <w:b/>
          <w:sz w:val="24"/>
          <w:szCs w:val="24"/>
        </w:rPr>
      </w:pPr>
      <w:r w:rsidRPr="00C635C2">
        <w:rPr>
          <w:rFonts w:ascii="Arial" w:hAnsi="Arial" w:cs="Arial"/>
          <w:b/>
          <w:sz w:val="24"/>
          <w:szCs w:val="24"/>
        </w:rPr>
        <w:t>Question 5</w:t>
      </w:r>
    </w:p>
    <w:tbl>
      <w:tblPr>
        <w:tblStyle w:val="PlainTable1"/>
        <w:tblW w:w="0" w:type="auto"/>
        <w:tblLook w:val="04A0" w:firstRow="1" w:lastRow="0" w:firstColumn="1" w:lastColumn="0" w:noHBand="0" w:noVBand="1"/>
      </w:tblPr>
      <w:tblGrid>
        <w:gridCol w:w="5398"/>
        <w:gridCol w:w="2106"/>
        <w:gridCol w:w="1846"/>
      </w:tblGrid>
      <w:tr w:rsidR="00151BD2" w:rsidTr="00151B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8" w:type="dxa"/>
          </w:tcPr>
          <w:p w:rsidR="00151BD2" w:rsidRDefault="00151BD2" w:rsidP="00D97EA7"/>
        </w:tc>
        <w:tc>
          <w:tcPr>
            <w:tcW w:w="3952" w:type="dxa"/>
            <w:gridSpan w:val="2"/>
          </w:tcPr>
          <w:p w:rsidR="00151BD2" w:rsidRDefault="00151BD2" w:rsidP="00151BD2">
            <w:pPr>
              <w:jc w:val="center"/>
              <w:cnfStyle w:val="100000000000" w:firstRow="1" w:lastRow="0" w:firstColumn="0" w:lastColumn="0" w:oddVBand="0" w:evenVBand="0" w:oddHBand="0" w:evenHBand="0" w:firstRowFirstColumn="0" w:firstRowLastColumn="0" w:lastRowFirstColumn="0" w:lastRowLastColumn="0"/>
            </w:pPr>
            <w:r>
              <w:t>Regression Results</w:t>
            </w:r>
          </w:p>
        </w:tc>
      </w:tr>
      <w:tr w:rsidR="00151BD2" w:rsidTr="00151B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8" w:type="dxa"/>
          </w:tcPr>
          <w:p w:rsidR="00151BD2" w:rsidRDefault="00151BD2" w:rsidP="00D97EA7">
            <w:r>
              <w:t>Strategy</w:t>
            </w:r>
          </w:p>
        </w:tc>
        <w:tc>
          <w:tcPr>
            <w:tcW w:w="2106" w:type="dxa"/>
          </w:tcPr>
          <w:p w:rsidR="00151BD2" w:rsidRPr="00151BD2" w:rsidRDefault="00151BD2" w:rsidP="00151BD2">
            <w:pPr>
              <w:jc w:val="center"/>
              <w:cnfStyle w:val="000000100000" w:firstRow="0" w:lastRow="0" w:firstColumn="0" w:lastColumn="0" w:oddVBand="0" w:evenVBand="0" w:oddHBand="1" w:evenHBand="0" w:firstRowFirstColumn="0" w:firstRowLastColumn="0" w:lastRowFirstColumn="0" w:lastRowLastColumn="0"/>
              <w:rPr>
                <w:b/>
              </w:rPr>
            </w:pPr>
            <w:r w:rsidRPr="00151BD2">
              <w:rPr>
                <w:b/>
              </w:rPr>
              <w:t>13-24 Months</w:t>
            </w:r>
          </w:p>
        </w:tc>
        <w:tc>
          <w:tcPr>
            <w:tcW w:w="1846" w:type="dxa"/>
          </w:tcPr>
          <w:p w:rsidR="00151BD2" w:rsidRPr="00151BD2" w:rsidRDefault="00151BD2" w:rsidP="00151BD2">
            <w:pPr>
              <w:jc w:val="center"/>
              <w:cnfStyle w:val="000000100000" w:firstRow="0" w:lastRow="0" w:firstColumn="0" w:lastColumn="0" w:oddVBand="0" w:evenVBand="0" w:oddHBand="1" w:evenHBand="0" w:firstRowFirstColumn="0" w:firstRowLastColumn="0" w:lastRowFirstColumn="0" w:lastRowLastColumn="0"/>
              <w:rPr>
                <w:b/>
              </w:rPr>
            </w:pPr>
            <w:r w:rsidRPr="00151BD2">
              <w:rPr>
                <w:b/>
              </w:rPr>
              <w:t>25-36 Months</w:t>
            </w:r>
          </w:p>
        </w:tc>
      </w:tr>
      <w:tr w:rsidR="00151BD2" w:rsidTr="00151BD2">
        <w:tc>
          <w:tcPr>
            <w:cnfStyle w:val="001000000000" w:firstRow="0" w:lastRow="0" w:firstColumn="1" w:lastColumn="0" w:oddVBand="0" w:evenVBand="0" w:oddHBand="0" w:evenHBand="0" w:firstRowFirstColumn="0" w:firstRowLastColumn="0" w:lastRowFirstColumn="0" w:lastRowLastColumn="0"/>
            <w:tcW w:w="5398" w:type="dxa"/>
          </w:tcPr>
          <w:p w:rsidR="00151BD2" w:rsidRDefault="00151BD2" w:rsidP="00D97EA7">
            <w:r>
              <w:t>Alpha from CAPM (monthly)</w:t>
            </w:r>
          </w:p>
        </w:tc>
        <w:tc>
          <w:tcPr>
            <w:tcW w:w="2106" w:type="dxa"/>
          </w:tcPr>
          <w:p w:rsidR="00151BD2" w:rsidRDefault="00151BD2" w:rsidP="00151BD2">
            <w:pPr>
              <w:jc w:val="center"/>
              <w:cnfStyle w:val="000000000000" w:firstRow="0" w:lastRow="0" w:firstColumn="0" w:lastColumn="0" w:oddVBand="0" w:evenVBand="0" w:oddHBand="0" w:evenHBand="0" w:firstRowFirstColumn="0" w:firstRowLastColumn="0" w:lastRowFirstColumn="0" w:lastRowLastColumn="0"/>
            </w:pPr>
            <w:r>
              <w:t>0.3831</w:t>
            </w:r>
          </w:p>
        </w:tc>
        <w:tc>
          <w:tcPr>
            <w:tcW w:w="1846" w:type="dxa"/>
          </w:tcPr>
          <w:p w:rsidR="00151BD2" w:rsidRDefault="00151BD2" w:rsidP="00151BD2">
            <w:pPr>
              <w:jc w:val="center"/>
              <w:cnfStyle w:val="000000000000" w:firstRow="0" w:lastRow="0" w:firstColumn="0" w:lastColumn="0" w:oddVBand="0" w:evenVBand="0" w:oddHBand="0" w:evenHBand="0" w:firstRowFirstColumn="0" w:firstRowLastColumn="0" w:lastRowFirstColumn="0" w:lastRowLastColumn="0"/>
            </w:pPr>
            <w:r>
              <w:t>0.3934</w:t>
            </w:r>
          </w:p>
        </w:tc>
      </w:tr>
    </w:tbl>
    <w:p w:rsidR="00151BD2" w:rsidRDefault="00151BD2"/>
    <w:p w:rsidR="00D64EAA" w:rsidRPr="00C635C2" w:rsidRDefault="00D64EAA" w:rsidP="00C635C2">
      <w:pPr>
        <w:spacing w:after="0" w:line="480" w:lineRule="auto"/>
        <w:rPr>
          <w:rFonts w:ascii="Arial" w:hAnsi="Arial" w:cs="Arial"/>
          <w:b/>
          <w:sz w:val="24"/>
          <w:szCs w:val="24"/>
        </w:rPr>
      </w:pPr>
      <w:r w:rsidRPr="00C635C2">
        <w:rPr>
          <w:rFonts w:ascii="Arial" w:hAnsi="Arial" w:cs="Arial"/>
          <w:b/>
          <w:sz w:val="24"/>
          <w:szCs w:val="24"/>
        </w:rPr>
        <w:t>Question 6</w:t>
      </w:r>
    </w:p>
    <w:p w:rsidR="008E58AD" w:rsidRPr="00C635C2" w:rsidRDefault="00AE4806" w:rsidP="00C635C2">
      <w:pPr>
        <w:spacing w:after="0" w:line="480" w:lineRule="auto"/>
        <w:rPr>
          <w:rFonts w:ascii="Arial" w:hAnsi="Arial" w:cs="Arial"/>
          <w:sz w:val="24"/>
          <w:szCs w:val="24"/>
        </w:rPr>
      </w:pPr>
      <w:r w:rsidRPr="00C635C2">
        <w:rPr>
          <w:rFonts w:ascii="Arial" w:hAnsi="Arial" w:cs="Arial"/>
          <w:sz w:val="24"/>
          <w:szCs w:val="24"/>
        </w:rPr>
        <w:t>YES</w:t>
      </w:r>
    </w:p>
    <w:p w:rsidR="00D64EAA" w:rsidRPr="00C635C2" w:rsidRDefault="00D64EAA" w:rsidP="00C635C2">
      <w:pPr>
        <w:spacing w:after="0" w:line="480" w:lineRule="auto"/>
        <w:rPr>
          <w:rFonts w:ascii="Arial" w:hAnsi="Arial" w:cs="Arial"/>
          <w:b/>
          <w:sz w:val="24"/>
          <w:szCs w:val="24"/>
        </w:rPr>
      </w:pPr>
      <w:r w:rsidRPr="00C635C2">
        <w:rPr>
          <w:rFonts w:ascii="Arial" w:hAnsi="Arial" w:cs="Arial"/>
          <w:b/>
          <w:sz w:val="24"/>
          <w:szCs w:val="24"/>
        </w:rPr>
        <w:lastRenderedPageBreak/>
        <w:t>Question 7</w:t>
      </w:r>
    </w:p>
    <w:p w:rsidR="00AE674F" w:rsidRPr="00C635C2" w:rsidRDefault="00AE674F" w:rsidP="00C635C2">
      <w:pPr>
        <w:spacing w:after="0" w:line="480" w:lineRule="auto"/>
        <w:ind w:firstLine="720"/>
        <w:rPr>
          <w:rFonts w:ascii="Arial" w:hAnsi="Arial" w:cs="Arial"/>
          <w:sz w:val="24"/>
          <w:szCs w:val="24"/>
        </w:rPr>
      </w:pPr>
      <w:r w:rsidRPr="00C635C2">
        <w:rPr>
          <w:rFonts w:ascii="Arial" w:hAnsi="Arial" w:cs="Arial"/>
          <w:sz w:val="24"/>
          <w:szCs w:val="24"/>
        </w:rPr>
        <w:t>Stocks of companies are outperforming their benchmark a year after they are</w:t>
      </w:r>
      <w:r w:rsidR="00096901" w:rsidRPr="00C635C2">
        <w:rPr>
          <w:rFonts w:ascii="Arial" w:hAnsi="Arial" w:cs="Arial"/>
          <w:sz w:val="24"/>
          <w:szCs w:val="24"/>
        </w:rPr>
        <w:t xml:space="preserve"> dropped from the Fortune risk by 0.4091 per month. </w:t>
      </w:r>
    </w:p>
    <w:p w:rsidR="00D64EAA" w:rsidRPr="00C635C2" w:rsidRDefault="00D64EAA" w:rsidP="00C635C2">
      <w:pPr>
        <w:spacing w:after="0" w:line="480" w:lineRule="auto"/>
        <w:rPr>
          <w:rFonts w:ascii="Arial" w:hAnsi="Arial" w:cs="Arial"/>
          <w:b/>
          <w:sz w:val="24"/>
          <w:szCs w:val="24"/>
        </w:rPr>
      </w:pPr>
      <w:r w:rsidRPr="00C635C2">
        <w:rPr>
          <w:rFonts w:ascii="Arial" w:hAnsi="Arial" w:cs="Arial"/>
          <w:b/>
          <w:sz w:val="24"/>
          <w:szCs w:val="24"/>
        </w:rPr>
        <w:t>Question 8</w:t>
      </w:r>
    </w:p>
    <w:p w:rsidR="002F2C3E" w:rsidRPr="00C635C2" w:rsidRDefault="00DC6053" w:rsidP="00C635C2">
      <w:pPr>
        <w:spacing w:after="0" w:line="480" w:lineRule="auto"/>
        <w:ind w:firstLine="720"/>
        <w:rPr>
          <w:rFonts w:ascii="Arial" w:hAnsi="Arial" w:cs="Arial"/>
          <w:sz w:val="24"/>
          <w:szCs w:val="24"/>
        </w:rPr>
      </w:pPr>
      <w:r w:rsidRPr="00C635C2">
        <w:rPr>
          <w:rFonts w:ascii="Arial" w:hAnsi="Arial" w:cs="Arial"/>
          <w:sz w:val="24"/>
          <w:szCs w:val="24"/>
        </w:rPr>
        <w:t xml:space="preserve">A different portfolio strategy based on publicly observable information would be to invest equally in all the publicly traded members that are dropped from the most recent fortune list released in the past January. </w:t>
      </w:r>
      <w:r w:rsidR="00150ABE" w:rsidRPr="00C635C2">
        <w:rPr>
          <w:rFonts w:ascii="Arial" w:hAnsi="Arial" w:cs="Arial"/>
          <w:sz w:val="24"/>
          <w:szCs w:val="24"/>
        </w:rPr>
        <w:t xml:space="preserve">This strategy has the potential to earn higher Alpha because most investors pursuing the employee satisfaction strategy will shun the dropped group, resulting in a better book value to price ratio and lower capitalization. This increases yield over the long term because despite this companies not being in the high employee satisfaction list, it is unlikely that they would move from good </w:t>
      </w:r>
      <w:proofErr w:type="spellStart"/>
      <w:r w:rsidR="00150ABE" w:rsidRPr="00C635C2">
        <w:rPr>
          <w:rFonts w:ascii="Arial" w:hAnsi="Arial" w:cs="Arial"/>
          <w:sz w:val="24"/>
          <w:szCs w:val="24"/>
        </w:rPr>
        <w:t>to</w:t>
      </w:r>
      <w:proofErr w:type="spellEnd"/>
      <w:r w:rsidR="00150ABE" w:rsidRPr="00C635C2">
        <w:rPr>
          <w:rFonts w:ascii="Arial" w:hAnsi="Arial" w:cs="Arial"/>
          <w:sz w:val="24"/>
          <w:szCs w:val="24"/>
        </w:rPr>
        <w:t xml:space="preserve"> bad in such a short period. Therefore, they have lower prices and higher growth because the market discounts their performance. </w:t>
      </w:r>
      <w:r w:rsidR="008B4534" w:rsidRPr="00C635C2">
        <w:rPr>
          <w:rFonts w:ascii="Arial" w:hAnsi="Arial" w:cs="Arial"/>
          <w:sz w:val="24"/>
          <w:szCs w:val="24"/>
        </w:rPr>
        <w:t>My portfolio would have lower trading costs because of lower capitalization, since trading costs are a proportion of market capitalization</w:t>
      </w:r>
      <w:r w:rsidR="004E7758" w:rsidRPr="00C635C2">
        <w:rPr>
          <w:rFonts w:ascii="Arial" w:hAnsi="Arial" w:cs="Arial"/>
          <w:sz w:val="24"/>
          <w:szCs w:val="24"/>
        </w:rPr>
        <w:t xml:space="preserve"> or rather the total portfolio</w:t>
      </w:r>
      <w:r w:rsidR="008B4534" w:rsidRPr="00C635C2">
        <w:rPr>
          <w:rFonts w:ascii="Arial" w:hAnsi="Arial" w:cs="Arial"/>
          <w:sz w:val="24"/>
          <w:szCs w:val="24"/>
        </w:rPr>
        <w:t xml:space="preserve">. </w:t>
      </w:r>
    </w:p>
    <w:sectPr w:rsidR="002F2C3E" w:rsidRPr="00C635C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3D20" w:rsidRDefault="00423D20" w:rsidP="00232C6B">
      <w:pPr>
        <w:spacing w:after="0" w:line="240" w:lineRule="auto"/>
      </w:pPr>
      <w:r>
        <w:separator/>
      </w:r>
    </w:p>
  </w:endnote>
  <w:endnote w:type="continuationSeparator" w:id="0">
    <w:p w:rsidR="00423D20" w:rsidRDefault="00423D20" w:rsidP="00232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C6B" w:rsidRDefault="00232C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C6B" w:rsidRDefault="00232C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C6B" w:rsidRDefault="00232C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3D20" w:rsidRDefault="00423D20" w:rsidP="00232C6B">
      <w:pPr>
        <w:spacing w:after="0" w:line="240" w:lineRule="auto"/>
      </w:pPr>
      <w:r>
        <w:separator/>
      </w:r>
    </w:p>
  </w:footnote>
  <w:footnote w:type="continuationSeparator" w:id="0">
    <w:p w:rsidR="00423D20" w:rsidRDefault="00423D20" w:rsidP="00232C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C6B" w:rsidRDefault="00232C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C6B" w:rsidRDefault="00232C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C6B" w:rsidRDefault="00232C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345"/>
    <w:rsid w:val="00096901"/>
    <w:rsid w:val="00150ABE"/>
    <w:rsid w:val="00151BD2"/>
    <w:rsid w:val="00232C6B"/>
    <w:rsid w:val="00272E5D"/>
    <w:rsid w:val="002F2C3E"/>
    <w:rsid w:val="003C7159"/>
    <w:rsid w:val="00423D20"/>
    <w:rsid w:val="004E63DA"/>
    <w:rsid w:val="004E7758"/>
    <w:rsid w:val="00581F5E"/>
    <w:rsid w:val="00642135"/>
    <w:rsid w:val="006F4995"/>
    <w:rsid w:val="00733100"/>
    <w:rsid w:val="00801FAE"/>
    <w:rsid w:val="008B4534"/>
    <w:rsid w:val="008E58AD"/>
    <w:rsid w:val="00902593"/>
    <w:rsid w:val="009D6A41"/>
    <w:rsid w:val="00AA236E"/>
    <w:rsid w:val="00AA4EA7"/>
    <w:rsid w:val="00AE4806"/>
    <w:rsid w:val="00AE674F"/>
    <w:rsid w:val="00C635C2"/>
    <w:rsid w:val="00CF2B39"/>
    <w:rsid w:val="00D64EAA"/>
    <w:rsid w:val="00D76B18"/>
    <w:rsid w:val="00D92345"/>
    <w:rsid w:val="00DC6053"/>
    <w:rsid w:val="00E03EA3"/>
    <w:rsid w:val="00E071B2"/>
    <w:rsid w:val="00EE37F5"/>
    <w:rsid w:val="00F15311"/>
    <w:rsid w:val="00F20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37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733100"/>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1">
    <w:name w:val="Plain Table 1"/>
    <w:basedOn w:val="TableNormal"/>
    <w:uiPriority w:val="41"/>
    <w:rsid w:val="0073310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232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C6B"/>
  </w:style>
  <w:style w:type="paragraph" w:styleId="Footer">
    <w:name w:val="footer"/>
    <w:basedOn w:val="Normal"/>
    <w:link w:val="FooterChar"/>
    <w:uiPriority w:val="99"/>
    <w:unhideWhenUsed/>
    <w:rsid w:val="00232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2018-11-26T09:16:00Z</dcterms:created>
  <dcterms:modified xsi:type="dcterms:W3CDTF">2018-11-26T09:16:00Z</dcterms:modified>
</cp:coreProperties>
</file>